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FC" w:rsidRDefault="00C22EFC" w:rsidP="00C22EFC">
      <w:pPr>
        <w:jc w:val="center"/>
        <w:rPr>
          <w:rFonts w:ascii="Times New Roman" w:eastAsia="Times New Roman" w:hAnsi="Times New Roman"/>
          <w:color w:val="943634"/>
          <w:sz w:val="28"/>
          <w:szCs w:val="28"/>
          <w:lang w:eastAsia="ru-RU"/>
        </w:rPr>
      </w:pPr>
    </w:p>
    <w:p w:rsidR="00C22EFC" w:rsidRDefault="00C22EFC" w:rsidP="00C22EFC">
      <w:pPr>
        <w:jc w:val="center"/>
        <w:rPr>
          <w:rFonts w:ascii="Times New Roman" w:eastAsia="Times New Roman" w:hAnsi="Times New Roman"/>
          <w:color w:val="943634"/>
          <w:sz w:val="28"/>
          <w:szCs w:val="28"/>
          <w:lang w:eastAsia="ru-RU"/>
        </w:rPr>
      </w:pPr>
    </w:p>
    <w:p w:rsidR="00C22EFC" w:rsidRDefault="00C22EFC" w:rsidP="00C22EFC">
      <w:pPr>
        <w:jc w:val="center"/>
        <w:rPr>
          <w:rFonts w:ascii="Times New Roman" w:eastAsia="Times New Roman" w:hAnsi="Times New Roman"/>
          <w:color w:val="943634"/>
          <w:sz w:val="28"/>
          <w:szCs w:val="28"/>
          <w:lang w:eastAsia="ru-RU"/>
        </w:rPr>
      </w:pPr>
    </w:p>
    <w:p w:rsidR="00C22EFC" w:rsidRDefault="00C22EFC" w:rsidP="00C22EFC">
      <w:pPr>
        <w:spacing w:after="0"/>
        <w:ind w:firstLine="708"/>
        <w:jc w:val="center"/>
        <w:rPr>
          <w:rFonts w:ascii="Calibri" w:eastAsia="Times New Roman" w:hAnsi="Calibri"/>
          <w:i/>
          <w:sz w:val="28"/>
          <w:szCs w:val="28"/>
          <w:lang w:eastAsia="ru-RU"/>
        </w:rPr>
      </w:pPr>
    </w:p>
    <w:p w:rsidR="00C22EFC" w:rsidRDefault="00C22EFC" w:rsidP="00C22EFC">
      <w:pPr>
        <w:jc w:val="center"/>
        <w:rPr>
          <w:rFonts w:ascii="Times New Roman" w:eastAsia="Times New Roman" w:hAnsi="Times New Roman"/>
          <w:i/>
          <w:color w:val="000000"/>
          <w:sz w:val="40"/>
          <w:szCs w:val="32"/>
          <w:lang w:eastAsia="ru-RU"/>
        </w:rPr>
      </w:pPr>
    </w:p>
    <w:p w:rsidR="00C22EFC" w:rsidRDefault="00C22EFC" w:rsidP="00C22EFC">
      <w:pPr>
        <w:spacing w:line="240" w:lineRule="auto"/>
        <w:jc w:val="center"/>
        <w:rPr>
          <w:rFonts w:ascii="Times New Roman" w:eastAsia="Times New Roman" w:hAnsi="Times New Roman"/>
          <w:i/>
          <w:color w:val="000000"/>
          <w:sz w:val="40"/>
          <w:szCs w:val="32"/>
          <w:lang w:eastAsia="ru-RU"/>
        </w:rPr>
      </w:pPr>
    </w:p>
    <w:p w:rsidR="00C22EFC" w:rsidRPr="00C22EFC" w:rsidRDefault="00C22EFC" w:rsidP="00C22EFC">
      <w:pPr>
        <w:spacing w:line="240" w:lineRule="auto"/>
        <w:jc w:val="center"/>
        <w:rPr>
          <w:rFonts w:ascii="Times New Roman" w:eastAsia="Times New Roman" w:hAnsi="Times New Roman"/>
          <w:i/>
          <w:color w:val="000000"/>
          <w:sz w:val="32"/>
          <w:szCs w:val="32"/>
          <w:lang w:eastAsia="ru-RU"/>
        </w:rPr>
      </w:pPr>
      <w:r w:rsidRPr="00C22EFC">
        <w:rPr>
          <w:rFonts w:ascii="Times New Roman" w:eastAsia="Times New Roman" w:hAnsi="Times New Roman"/>
          <w:i/>
          <w:color w:val="000000"/>
          <w:sz w:val="32"/>
          <w:szCs w:val="32"/>
          <w:lang w:eastAsia="ru-RU"/>
        </w:rPr>
        <w:t xml:space="preserve">Учебное задание по дисциплине </w:t>
      </w:r>
    </w:p>
    <w:p w:rsidR="0010454C" w:rsidRDefault="00C22EFC" w:rsidP="0010454C">
      <w:pPr>
        <w:spacing w:line="360" w:lineRule="auto"/>
        <w:jc w:val="center"/>
        <w:rPr>
          <w:rFonts w:ascii="Times New Roman" w:eastAsia="Times New Roman" w:hAnsi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32"/>
          <w:szCs w:val="32"/>
          <w:lang w:eastAsia="ru-RU"/>
        </w:rPr>
        <w:t>История зарубежной музыки</w:t>
      </w:r>
    </w:p>
    <w:p w:rsidR="0010454C" w:rsidRDefault="00C22EFC" w:rsidP="0010454C">
      <w:pPr>
        <w:spacing w:line="36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«</w:t>
      </w:r>
      <w:r w:rsidR="0010454C">
        <w:rPr>
          <w:rFonts w:ascii="Times New Roman" w:hAnsi="Times New Roman" w:cs="Times New Roman"/>
          <w:i/>
          <w:sz w:val="32"/>
          <w:szCs w:val="28"/>
        </w:rPr>
        <w:t xml:space="preserve">Новая музыка: </w:t>
      </w:r>
      <w:r w:rsidR="00536683" w:rsidRPr="00536683">
        <w:rPr>
          <w:rFonts w:ascii="Times New Roman" w:hAnsi="Times New Roman" w:cs="Times New Roman"/>
          <w:i/>
          <w:sz w:val="32"/>
          <w:szCs w:val="28"/>
        </w:rPr>
        <w:t>послевоенный музыкальный авангард</w:t>
      </w:r>
    </w:p>
    <w:p w:rsidR="00C22EFC" w:rsidRPr="0010454C" w:rsidRDefault="00536683" w:rsidP="0010454C">
      <w:pPr>
        <w:spacing w:line="36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 w:rsidRPr="00536683">
        <w:rPr>
          <w:rFonts w:ascii="Times New Roman" w:hAnsi="Times New Roman" w:cs="Times New Roman"/>
          <w:i/>
          <w:sz w:val="32"/>
          <w:szCs w:val="28"/>
        </w:rPr>
        <w:t xml:space="preserve"> 1950-1960-х</w:t>
      </w:r>
      <w:r w:rsidR="0010454C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Pr="00536683">
        <w:rPr>
          <w:rFonts w:ascii="Times New Roman" w:hAnsi="Times New Roman" w:cs="Times New Roman"/>
          <w:i/>
          <w:sz w:val="32"/>
          <w:szCs w:val="28"/>
        </w:rPr>
        <w:t>гг.</w:t>
      </w:r>
      <w:r w:rsidR="00C22EFC">
        <w:rPr>
          <w:rFonts w:ascii="Times New Roman" w:hAnsi="Times New Roman" w:cs="Times New Roman"/>
          <w:i/>
          <w:sz w:val="32"/>
          <w:szCs w:val="28"/>
        </w:rPr>
        <w:t>»</w:t>
      </w:r>
    </w:p>
    <w:p w:rsidR="00C22EFC" w:rsidRDefault="00C22EFC" w:rsidP="00C22EFC">
      <w:pPr>
        <w:ind w:left="6237"/>
        <w:contextualSpacing/>
        <w:rPr>
          <w:rFonts w:ascii="Times New Roman" w:eastAsia="Times New Roman" w:hAnsi="Times New Roman"/>
          <w:b/>
          <w:sz w:val="28"/>
          <w:szCs w:val="40"/>
          <w:lang w:eastAsia="ru-RU"/>
        </w:rPr>
      </w:pPr>
    </w:p>
    <w:p w:rsidR="00C22EFC" w:rsidRDefault="00C22EFC" w:rsidP="00C22EFC">
      <w:pPr>
        <w:ind w:left="6237"/>
        <w:contextualSpacing/>
        <w:rPr>
          <w:rFonts w:ascii="Times New Roman" w:eastAsia="Times New Roman" w:hAnsi="Times New Roman"/>
          <w:b/>
          <w:sz w:val="28"/>
          <w:szCs w:val="40"/>
          <w:lang w:eastAsia="ru-RU"/>
        </w:rPr>
      </w:pPr>
    </w:p>
    <w:p w:rsidR="00C22EFC" w:rsidRDefault="00C22EFC" w:rsidP="00C22EFC">
      <w:pPr>
        <w:ind w:left="6237"/>
        <w:contextualSpacing/>
        <w:rPr>
          <w:rFonts w:ascii="Times New Roman" w:eastAsia="Times New Roman" w:hAnsi="Times New Roman"/>
          <w:b/>
          <w:sz w:val="28"/>
          <w:szCs w:val="40"/>
          <w:lang w:eastAsia="ru-RU"/>
        </w:rPr>
      </w:pPr>
    </w:p>
    <w:p w:rsidR="00C22EFC" w:rsidRDefault="00C22EFC" w:rsidP="00C22EFC">
      <w:pPr>
        <w:ind w:left="6237"/>
        <w:contextualSpacing/>
        <w:rPr>
          <w:rFonts w:ascii="Times New Roman" w:eastAsia="Times New Roman" w:hAnsi="Times New Roman"/>
          <w:b/>
          <w:sz w:val="28"/>
          <w:szCs w:val="40"/>
          <w:lang w:eastAsia="ru-RU"/>
        </w:rPr>
      </w:pPr>
    </w:p>
    <w:p w:rsidR="00C22EFC" w:rsidRDefault="00C22EFC" w:rsidP="00C22EFC">
      <w:pPr>
        <w:ind w:left="6237"/>
        <w:contextualSpacing/>
        <w:rPr>
          <w:rFonts w:ascii="Times New Roman" w:eastAsia="Times New Roman" w:hAnsi="Times New Roman"/>
          <w:sz w:val="28"/>
          <w:szCs w:val="40"/>
          <w:lang w:eastAsia="ru-RU"/>
        </w:rPr>
      </w:pPr>
    </w:p>
    <w:p w:rsidR="00C22EFC" w:rsidRDefault="00C22EFC" w:rsidP="00C22EFC">
      <w:pPr>
        <w:rPr>
          <w:rFonts w:ascii="Times New Roman" w:eastAsia="Times New Roman" w:hAnsi="Times New Roman"/>
          <w:b/>
          <w:sz w:val="28"/>
          <w:szCs w:val="40"/>
          <w:lang w:eastAsia="ru-RU"/>
        </w:rPr>
      </w:pPr>
    </w:p>
    <w:p w:rsidR="00C22EFC" w:rsidRDefault="00C22EFC" w:rsidP="00C22EFC">
      <w:pPr>
        <w:rPr>
          <w:rFonts w:ascii="Times New Roman" w:eastAsia="Times New Roman" w:hAnsi="Times New Roman"/>
          <w:b/>
          <w:color w:val="171D37"/>
          <w:sz w:val="28"/>
          <w:szCs w:val="28"/>
          <w:shd w:val="clear" w:color="auto" w:fill="FFFFFF"/>
          <w:lang w:eastAsia="ru-RU"/>
        </w:rPr>
      </w:pPr>
    </w:p>
    <w:p w:rsidR="00C22EFC" w:rsidRPr="00536683" w:rsidRDefault="00C22EFC" w:rsidP="00536683">
      <w:pPr>
        <w:rPr>
          <w:rFonts w:ascii="Times New Roman" w:eastAsia="Times New Roman" w:hAnsi="Times New Roman"/>
          <w:b/>
          <w:color w:val="171D37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171D37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/>
          <w:b/>
          <w:color w:val="171D37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/>
          <w:b/>
          <w:color w:val="171D37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/>
          <w:b/>
          <w:color w:val="171D37"/>
          <w:sz w:val="28"/>
          <w:szCs w:val="28"/>
          <w:shd w:val="clear" w:color="auto" w:fill="FFFFFF"/>
          <w:lang w:eastAsia="ru-RU"/>
        </w:rPr>
        <w:tab/>
      </w:r>
    </w:p>
    <w:p w:rsidR="00850C1A" w:rsidRDefault="00850C1A" w:rsidP="00C22EFC">
      <w:pPr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22EFC" w:rsidRDefault="00C22EFC" w:rsidP="00C22EFC">
      <w:pPr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Нижний Новгород</w:t>
      </w:r>
    </w:p>
    <w:p w:rsidR="00C22EFC" w:rsidRDefault="00C22EFC" w:rsidP="00C22EFC">
      <w:pPr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2018</w:t>
      </w:r>
    </w:p>
    <w:p w:rsidR="00850C1A" w:rsidRDefault="00850C1A" w:rsidP="00C22EFC">
      <w:pPr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52430" w:rsidRDefault="00A52430" w:rsidP="0010454C">
      <w:pPr>
        <w:jc w:val="center"/>
        <w:rPr>
          <w:i/>
          <w:sz w:val="24"/>
        </w:rPr>
      </w:pPr>
    </w:p>
    <w:p w:rsidR="002759E8" w:rsidRDefault="002759E8" w:rsidP="0010454C">
      <w:pPr>
        <w:jc w:val="center"/>
        <w:rPr>
          <w:i/>
          <w:sz w:val="24"/>
        </w:rPr>
      </w:pPr>
    </w:p>
    <w:p w:rsidR="002759E8" w:rsidRDefault="002759E8" w:rsidP="0010454C">
      <w:pPr>
        <w:jc w:val="center"/>
        <w:rPr>
          <w:i/>
          <w:sz w:val="24"/>
        </w:rPr>
      </w:pPr>
    </w:p>
    <w:p w:rsidR="002759E8" w:rsidRPr="0010454C" w:rsidRDefault="002759E8" w:rsidP="0010454C">
      <w:pPr>
        <w:jc w:val="center"/>
        <w:rPr>
          <w:i/>
          <w:sz w:val="24"/>
        </w:rPr>
      </w:pPr>
      <w:bookmarkStart w:id="0" w:name="_GoBack"/>
      <w:bookmarkEnd w:id="0"/>
    </w:p>
    <w:p w:rsidR="0010454C" w:rsidRDefault="00536683" w:rsidP="0010454C">
      <w:pPr>
        <w:jc w:val="center"/>
        <w:rPr>
          <w:rFonts w:ascii="Times New Roman" w:hAnsi="Times New Roman" w:cs="Times New Roman"/>
          <w:i/>
          <w:sz w:val="32"/>
          <w:szCs w:val="28"/>
        </w:rPr>
      </w:pPr>
      <w:r w:rsidRPr="0010454C">
        <w:rPr>
          <w:rFonts w:ascii="Times New Roman" w:hAnsi="Times New Roman" w:cs="Times New Roman"/>
          <w:i/>
          <w:sz w:val="32"/>
          <w:szCs w:val="28"/>
        </w:rPr>
        <w:lastRenderedPageBreak/>
        <w:t>Новая музыка: послевоенный музыкальный авангард</w:t>
      </w:r>
    </w:p>
    <w:p w:rsidR="0010454C" w:rsidRPr="0010454C" w:rsidRDefault="00536683" w:rsidP="0010454C">
      <w:pPr>
        <w:jc w:val="center"/>
        <w:rPr>
          <w:rFonts w:ascii="Times New Roman" w:hAnsi="Times New Roman" w:cs="Times New Roman"/>
          <w:i/>
          <w:sz w:val="32"/>
          <w:szCs w:val="28"/>
        </w:rPr>
      </w:pPr>
      <w:r w:rsidRPr="0010454C">
        <w:rPr>
          <w:rFonts w:ascii="Times New Roman" w:hAnsi="Times New Roman" w:cs="Times New Roman"/>
          <w:i/>
          <w:sz w:val="32"/>
          <w:szCs w:val="28"/>
        </w:rPr>
        <w:t>1950-1960-х гг.</w:t>
      </w:r>
    </w:p>
    <w:p w:rsidR="00C05971" w:rsidRDefault="00C05971" w:rsidP="00C22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093D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Музыка́льный</w:t>
      </w:r>
      <w:proofErr w:type="spellEnd"/>
      <w:proofErr w:type="gramEnd"/>
      <w:r w:rsidRPr="00093D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093D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аванга́рд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 — вид современной </w:t>
      </w:r>
      <w:hyperlink r:id="rId5" w:tooltip="Академическая музыка" w:history="1">
        <w:r w:rsidRPr="00093D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академической музыки</w:t>
        </w:r>
      </w:hyperlink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, некоторые элементы </w:t>
      </w:r>
      <w:hyperlink r:id="rId6" w:tooltip="Эстетика музыкальная" w:history="1">
        <w:r w:rsidRPr="00093D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эстетики</w:t>
        </w:r>
      </w:hyperlink>
      <w:r w:rsid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которой являются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радикально </w:t>
      </w:r>
      <w:hyperlink r:id="rId7" w:tooltip="Инновация" w:history="1">
        <w:r w:rsidRPr="00093D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инновационными</w:t>
        </w:r>
      </w:hyperlink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 Предполагается, что подобная музыка в эстетическом отношении опережает своё время.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Как и в случае с «</w:t>
      </w:r>
      <w:hyperlink r:id="rId8" w:tooltip="Экспериментальная музыка" w:history="1">
        <w:r w:rsidRPr="00093D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экспериментальной музыкой</w:t>
        </w:r>
      </w:hyperlink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термин «музыкальный авангард» зачастую используется для характеристики радикальных композиторов и их работ. Нет ясного различия между описываемыми данными терминами областями музыки, представляющими собой передний край современной музыкальной мысли и практики. Некоторые музыковеды проводят границу между авангардом и экспериментальной музыкой с точки зрения их соотношения с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евроцентричной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музыкальной традицией. По их мнению, в самом общем виде, авангардная музыка занимает экстремальные позиции в пределах традиции, в то время как экспериментальная музыка лежит за её пределами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0454C" w:rsidRPr="00093D55" w:rsidRDefault="0010454C" w:rsidP="00093D5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Историческая характеристика.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В аспекте сугубо историческом, термин «авангардная музыка» используется в </w:t>
      </w:r>
      <w:hyperlink r:id="rId9" w:tooltip="Музыковедение" w:history="1">
        <w:r w:rsidRPr="00093D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музыковедении</w:t>
        </w:r>
      </w:hyperlink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 Исследователи термином «авангард» обозначают только направления </w:t>
      </w:r>
      <w:hyperlink r:id="rId10" w:tooltip="Вторая мировая война" w:history="1">
        <w:r w:rsidRPr="00093D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послевоенного</w:t>
        </w:r>
      </w:hyperlink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периода,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исключая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этого понятия эпоху «модерна».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Сегодня же термин «авангардная музыка» может быть применён к любой 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"https://ru.wikipedia.org/wiki/%D0%AD%D0%BA%D1%81%D0%BF%D0%B5%D1%80%D0%B8%D0%BC%D0%B5%D0%BD%D1%82%D0%B0%D0%BB%D1%8C%D0%BD%D0%B0%D1%8F_%D0%BC%D1%83%D0%B7%D1%8B%D0%BA%D0%B0" \o "Экспериментальная музыка" </w:instrTex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093D5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неэкспериментальной</w:t>
      </w:r>
      <w:proofErr w:type="spellEnd"/>
      <w:r w:rsidRPr="00093D5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музыке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эстетика которой радикально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инновационна</w:t>
      </w:r>
      <w:proofErr w:type="spellEnd"/>
      <w:r w:rsidR="002630D1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Разнообразные течения авангарда 1950-60-х продемонстрировали результаты, чрезвычайно важные для развития музыкальной теории и практики. Мотив выбора того или иного средства выразительности, композиторской техники, материала лежит в плоскости эстетических и философских воззрений каждого отдельного композитора. Разумный отбор этих средств из всего объема музыкального багажа, накопленного к XXI веку, создает небывало мас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штабную художественную палитру.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по-разному относиться к художественным достоинствам сочинений музыкального авангарда 1950-60-х годов, но нельзя не признать их огромной значимости в плане звукообразующего эксперимента. Выразительные возможности авангардных направлений, как показывает композиторская практика, могут быть включены в разнообразный музыкально-стилевой контекст, исключительно расширяя семантическое пространство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музыкального произведения. Его содержание становится более многомерным, а звуковой образ более выразительным и разнообразным. </w:t>
      </w:r>
    </w:p>
    <w:p w:rsidR="00996C09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частности, среди современных петербургских композиторов, в чьих сочинениях присутствуют элементы, открытые и привнесенные музыкальным авангардом, можно назвать Е. Антоненко, Б.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Архимандритова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И.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Друха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Радвиловича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Г.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Фиртича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Изучение специфики восприятия авангардной музыки будет способствовать закреплению определенных образно-семантических свойств за данными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приемами и даже направлениями.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Деятели искусства стремились к осмыслению технического прогресса через смелые эксперименты с художественным языком в своем творчестве. Но «жизнь мало технически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внести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ее надо художественно освоить.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В частности, «непрерывное обновления восприятия и многообразные вторжения в него отбросили прежние симметрии и сняли ту нейтрализацию звука, которая была так до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рога классицизму» - писал </w:t>
      </w:r>
      <w:proofErr w:type="spellStart"/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Булез</w:t>
      </w:r>
      <w:proofErr w:type="spellEnd"/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подтверждает анализ данных направлений, их воздействия на слушателей в контексте художественного восприятия, причем с исторической дистанцией более чем в сорок лет. 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При этом следует учесть, что художественное восприятие слушателя является той психической функцией, которая, в конечном счете, определяет значимость и жизнеспособность того или иного творческого направления, в том числе и музыкаль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авангарда 1950-60-х годов.  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Отметим необходимую корректность при употреблении понятия эволюционного развития музыкального искусства.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переход от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одноголосия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многоголосию, от полифонии к гармонии, от модальной к тональной системе, от тональности к атональной, конкретной, электронной музыке нельзя называть прогрессом или регрессом.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стадии, уровни, функционирующие на разли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чных этапах становления музыки.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Преподаватели осознают, что «звукорежиссер - профессия творческая, это отнюдь не то же самое, что режиссер-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звукотехник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звукорежиссер обязан ориентироваться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во всем потоке музыкальных стилей, вплоть до самых последних направлений. Во время своей работы он будет сталкиваться с самыми разнообразными сочинениями, специфические особенности которых необходимо не просто слышать и узнавать, но и адекватно воспринимать, стремясь к качественной звук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озаписи.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Семантика авангардных сочинений может быть весьма уместной для внедрения ее в мультимедийные композиции. Еще в 1950-х годах конкретная музыка использовалась в фильмах, например, «„Леонардо да Винчи" или „Трагический поиск совершенства"»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, «Древнеиндейское искусство»</w:t>
      </w:r>
      <w:proofErr w:type="gramStart"/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проблем становления конкретной, магнитофонной, электронной музыки в 1950-60-е годы называют плохую осведомленность композиторов в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области технических новшеств и дилетантизм инженеров 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в области музыкальной эстетики.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Авангардная музыка подтвердила трудность ее восприятия. По сведениям Л. Гудкова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,, 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социологические исследования фиксируют, что читатели, зрители, слушатели, воспринимающие эстетический объект как произведение искусства составляют всего 8-12% аудитории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восприятии авангардных образцов отмечается еще более низкий показатель. Исходя из этого, очевидна необходимость воспитания более глубокого понимания художественных явлений, причем не только авангардных, но и классических направлений. 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Сложность авангардной музыки заключается не столько в освоении ее композиционно-технологических методов, сколько в овладении совершенно иными способами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слушательского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восприятия, в приобретении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навыков понимания специфики выразительных средств этого направления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Изменениям в среде музыкальных предпочтений обычно предшествуют изменения в реальной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слушательской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практике. Включение в концертные программы, наряду с классическими произведениями, авангардных сочинений, уже, на наш взгляд, создает определенные положительные тенденции. Обратимся в качестве примера к опыту петербургской концертной жизни. На афишах в настоящее время можно встретить имена К.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Штокхаузена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П.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Булеза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Лигети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представителей зарубежного авангарда 1950-60-х годов. Регулярно демонстрирует сочинения указанного периода музыкальный фестиваль «Звуковые пути», ежегодно проходящий на различных концертных площадках города.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каждому номеру концерта дается небольшой комментарий о творчестве представляемого композитора и о звучащем сочинении. Многочисленные отзывы слушателей подтверждают, что слова ведущего имеют большое практическое значение, помогают сориентироваться в новом материале, выразительных средствах, способствуют адекватному восприятию.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Адекватному постижению авангардных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сочинений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несомненно способствует использование в концертной практике кратких музыковедческих комментариев</w:t>
      </w:r>
      <w:r w:rsidR="00996C09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Восприятие музыки напрямую зависит от характера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слушательской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установки. При этом огромное значение имеют как общие представления о разнообразии авангардных течений, методах композиторского письма, «так и информированность слушателя о логической основе и специфических особенностях структуры конкретн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музыкального произведения». 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очевидна необходимость в освещении авангардной музыки учебно-образовательными программами гуманитарной направленности, серьезного и глубокого изучения всего поля. Без полноценного знания нововведений, открытий и экспериментов, появившихся в музыкальном искусстве нельзя предугадать его дальнейшее развитие и принять творения современников. 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ожно сделать вывод, что даже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далеко не все практикующие педагоги-музыканты знакомы с выразительными средствами и особенностями авангардного стиля. Поэтому чрезвычайно важно уделять внимание данному направле</w:t>
      </w:r>
      <w:r w:rsidR="00093D55">
        <w:rPr>
          <w:rFonts w:ascii="Times New Roman" w:hAnsi="Times New Roman" w:cs="Times New Roman"/>
          <w:color w:val="000000" w:themeColor="text1"/>
          <w:sz w:val="28"/>
          <w:szCs w:val="28"/>
        </w:rPr>
        <w:t>нию в рамках учебного процесса.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Понятие «современное искусство» охватывает творчество не только последних десятилетий, но и все Новейшее время. В обобщающем понятии «современная музыка» сосуществуют явления всевозможного характера. Эта сторона до сегодняшнего дня представляет большие трудности в плане удачной дидактической стратегии, задача которой - перевести в русло практических занятий музык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у радикально различных течений.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Известно, что многие новаторские тенденции имеют своеобразные, специфичные аналогии в других видах искусств. Здесь можно сказать, например, об опыте восприятия авангардных течений в литературе, философии, живописи, скульптуре. Музыка XX века развивалась не в изоляции. Тесное общение представителей художественной культуры, взаимопроникновение тенденций, синтетические формы творчества - все это предполагает возможность проведения параллелей. Таким образом, целесообразно изучать авангардные направления через приз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му их многообразных проявлений.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субъективного отношения преподавателя к новым композиционным техникам и эстетикам, исторические факты нельзя отрицать, музыкальная дидактика должна быть ориентирована на развитие современного музыкального мышления. На смену старым музыкально-педагогическим нормам должны приходить новые. К сожалению, почти все курсы преподавания музыкальной литературы или истории музыки подразумевают «безответных» учащихся. Переходя от эпохи к эпохе, любое демонстрируемое произведение представляется как непреложное культурное достояние. Однако, гораздо интереснее и полезнее совместное обсуждение спорных опусов, теоретических и эстетических идей, тенденций, направлений. Одним из ведущих принципов развивающего обучения является принцип </w:t>
      </w:r>
      <w:proofErr w:type="spell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проблемности</w:t>
      </w:r>
      <w:proofErr w:type="spell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. Его сущность сводится к систематическому созданию на уроках таких ситуаций, которые стимулируют в учащихся творческую активность. Основным приемом должна стать полемичность изложения, выявление противоречий, их нарочитое обострение. И музыкальный авангард 1950-60-х годов дает интереснейший материал для подоб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ного рода проблемных дискуссий.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Проникновение в непростой мир современной музыки требует больших усилий. Культуру музыкального восприятия авангарда необходимо воспитывать, постепенно усложняя и углубляя предлагаемый материал. Здесь возникают две проблемы: недостаточно разработанная дидактика преподавания многообразных форм авангардной музыки и отсутствие места в общем учебном плане. Последняя трудность преодолима, если </w:t>
      </w: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придерживаться следующего принципа: необязательно вести преподавание только в исторической последовательности. Выход - в проведении «арок» от эпохи к эпохе, сравнении тенденций, стилей, направлений традиционного, классического и авангардного искусства. Таким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образом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познакомить с феноменами новой музыки, создать возможности для обо</w:t>
      </w:r>
      <w:r w:rsidR="00093D55"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гащения музыкального тезауруса.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Произведения искусства апеллируют к различным интеллектуальным способностям, формам опыта и постижения действительности - от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конкретных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абстрактных. Как известно, искусство способно развивать эмоциональную сферу личности, а музыкальный авангард содержит особый эмоциональный импульс. Необходимо расширять информационный горизонт, разрушать сложившиеся табу, освобождать оценки от схематизации, стремиться к эволюции собственного художественного восприятия, а авангардное музыкальное искусство 1950-60-х годов </w:t>
      </w:r>
      <w:proofErr w:type="gramStart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-б</w:t>
      </w:r>
      <w:proofErr w:type="gramEnd"/>
      <w:r w:rsidRPr="00093D55">
        <w:rPr>
          <w:rFonts w:ascii="Times New Roman" w:hAnsi="Times New Roman" w:cs="Times New Roman"/>
          <w:color w:val="000000" w:themeColor="text1"/>
          <w:sz w:val="28"/>
          <w:szCs w:val="28"/>
        </w:rPr>
        <w:t>лагодатная почва для этого.</w:t>
      </w: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454C" w:rsidRPr="00093D55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454C" w:rsidRPr="002759E8" w:rsidRDefault="0010454C" w:rsidP="00093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r>
        <w:t xml:space="preserve">Адрес публикации: </w:t>
      </w:r>
      <w:hyperlink r:id="rIdHL999" w:history="1">
        <w:r>
          <w:rPr>
            <w:color w:val="0000FF"/>
            <w:u w:val="single"/>
          </w:rPr>
          <w:t>https://www.prodlenka.org/metodicheskie-razrabotki/324663-istorija-zarubezhnoj-muzyki</w:t>
        </w:r>
      </w:hyperlink>
    </w:p>
    <w:sectPr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22"/>
    <w:rsid w:val="00093D55"/>
    <w:rsid w:val="0010454C"/>
    <w:rsid w:val="002630D1"/>
    <w:rsid w:val="002759E8"/>
    <w:rsid w:val="00536683"/>
    <w:rsid w:val="00700A22"/>
    <w:rsid w:val="00850C1A"/>
    <w:rsid w:val="00996C09"/>
    <w:rsid w:val="00A52430"/>
    <w:rsid w:val="00C05971"/>
    <w:rsid w:val="00C2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5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5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A%D1%81%D0%BF%D0%B5%D1%80%D0%B8%D0%BC%D0%B5%D0%BD%D1%82%D0%B0%D0%BB%D1%8C%D0%BD%D0%B0%D1%8F_%D0%BC%D1%83%D0%B7%D1%8B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D%D0%BD%D0%BE%D0%B2%D0%B0%D1%86%D0%B8%D1%8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D%D1%81%D1%82%D0%B5%D1%82%D0%B8%D0%BA%D0%B0_%D0%BC%D1%83%D0%B7%D1%8B%D0%BA%D0%B0%D0%BB%D1%8C%D0%BD%D0%B0%D1%8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0%D0%BA%D0%B0%D0%B4%D0%B5%D0%BC%D0%B8%D1%87%D0%B5%D1%81%D0%BA%D0%B0%D1%8F_%D0%BC%D1%83%D0%B7%D1%8B%D0%BA%D0%B0" TargetMode="External"/><Relationship Id="rId10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1%83%D0%B7%D1%8B%D0%BA%D0%BE%D0%B2%D0%B5%D0%B4%D0%B5%D0%BD%D0%B8%D0%B5" TargetMode="External"/><Relationship Id="rIdHL999" Type="http://schemas.openxmlformats.org/officeDocument/2006/relationships/hyperlink" Target="https://www.prodlenka.org/metodicheskie-razrabotki/324663-istorija-zarubezhnoj-muzy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cp:lastPrinted>2018-08-16T11:30:00Z</cp:lastPrinted>
  <dcterms:created xsi:type="dcterms:W3CDTF">2018-08-16T09:10:00Z</dcterms:created>
  <dcterms:modified xsi:type="dcterms:W3CDTF">2018-09-29T10:01:00Z</dcterms:modified>
</cp:coreProperties>
</file>